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C3637" w14:textId="77777777" w:rsidR="00C94093" w:rsidRDefault="00C94093" w:rsidP="00C94093">
      <w:pPr>
        <w:pStyle w:val="Rubrik1"/>
      </w:pPr>
      <w:r>
        <w:t>B</w:t>
      </w:r>
      <w:r w:rsidR="001E4F3B">
        <w:t>edömning av amatörbyggt fordon</w:t>
      </w:r>
      <w:r w:rsidR="006F7623">
        <w:t>,</w:t>
      </w:r>
      <w:r w:rsidR="001E4F3B">
        <w:t xml:space="preserve"> ombyggt fordon</w:t>
      </w:r>
      <w:r w:rsidR="006F7623">
        <w:t>,</w:t>
      </w:r>
      <w:r w:rsidR="001E4F3B">
        <w:t xml:space="preserve"> </w:t>
      </w:r>
      <w:r w:rsidR="006F7623">
        <w:t>ändrat fordon samt uppbyggt fordon</w:t>
      </w:r>
    </w:p>
    <w:p w14:paraId="2758D6B7" w14:textId="77777777" w:rsidR="00C771DE" w:rsidRDefault="00C771DE" w:rsidP="00C771DE">
      <w:pPr>
        <w:pStyle w:val="Brdtext"/>
      </w:pPr>
    </w:p>
    <w:p w14:paraId="1631F257" w14:textId="77777777" w:rsidR="00C771DE" w:rsidRDefault="00C771DE" w:rsidP="00C771DE">
      <w:pPr>
        <w:pStyle w:val="Rubrik2"/>
      </w:pPr>
      <w:r w:rsidRPr="009362C8">
        <w:rPr>
          <w:rStyle w:val="Starkbetoning"/>
          <w:i w:val="0"/>
          <w:iCs w:val="0"/>
          <w:color w:val="4F81BD"/>
        </w:rPr>
        <w:t>MOTORCYKEL</w:t>
      </w:r>
    </w:p>
    <w:p w14:paraId="152AAE81" w14:textId="77777777" w:rsidR="00C771DE" w:rsidRPr="009362C8" w:rsidRDefault="00C771DE" w:rsidP="00C771DE">
      <w:pPr>
        <w:pStyle w:val="Rubrik2"/>
        <w:rPr>
          <w:rStyle w:val="Starkbetoning"/>
        </w:rPr>
      </w:pPr>
      <w:proofErr w:type="gramStart"/>
      <w:r w:rsidRPr="009362C8">
        <w:rPr>
          <w:rStyle w:val="Starkbetoning"/>
        </w:rPr>
        <w:t>Undantag</w:t>
      </w:r>
      <w:proofErr w:type="gramEnd"/>
      <w:r w:rsidRPr="009362C8">
        <w:rPr>
          <w:rStyle w:val="Starkbetoning"/>
        </w:rPr>
        <w:t xml:space="preserve"> från krav på registreringsbesiktning.</w:t>
      </w:r>
    </w:p>
    <w:p w14:paraId="21753580" w14:textId="77777777" w:rsidR="00C771DE" w:rsidRDefault="00C771DE" w:rsidP="00C771DE">
      <w:r>
        <w:t>För att främja säkerhet och funktion anpassas en MC efter rådande förhållanden i olika avseenden. Det kan t.ex. vara anpassning till förarens kroppsbyggnad, anpassning till användningssätt samt anpassning till ett visst vägunderlag.</w:t>
      </w:r>
    </w:p>
    <w:p w14:paraId="2892308A" w14:textId="77777777" w:rsidR="002007A8" w:rsidRDefault="00C771DE" w:rsidP="00956064">
      <w:pPr>
        <w:spacing w:after="120"/>
      </w:pPr>
      <w:r>
        <w:t>SFRO</w:t>
      </w:r>
      <w:r w:rsidR="002007A8">
        <w:t>, SMC och besiktningsorganen</w:t>
      </w:r>
      <w:r>
        <w:t xml:space="preserve"> </w:t>
      </w:r>
      <w:r w:rsidR="002007A8">
        <w:t>har kommit överens om</w:t>
      </w:r>
      <w:r>
        <w:t xml:space="preserve"> att dessa mindre åtgärder skall kunna utföras utan krav på registreringsbesiktning. För varje åtgärd finns dock vissa krav som skall uppfyllas. Att dessa krav uppfylls torde, utan olägenhet, kunna kontrolleras vid ordinarie kontrollbesiktning.</w:t>
      </w:r>
    </w:p>
    <w:p w14:paraId="0B5CEB16" w14:textId="77777777" w:rsidR="002007A8" w:rsidRDefault="002007A8" w:rsidP="00956064">
      <w:pPr>
        <w:spacing w:after="120"/>
      </w:pPr>
      <w:r>
        <w:t>Förutsättningar:</w:t>
      </w:r>
    </w:p>
    <w:p w14:paraId="06B37360" w14:textId="77777777" w:rsidR="002007A8" w:rsidRDefault="002007A8" w:rsidP="002007A8">
      <w:pPr>
        <w:pStyle w:val="Liststycke"/>
        <w:numPr>
          <w:ilvl w:val="0"/>
          <w:numId w:val="14"/>
        </w:numPr>
        <w:spacing w:after="120"/>
      </w:pPr>
      <w:r w:rsidRPr="002007A8">
        <w:t>OBS! Dessa undantag gäller inte för EG-typgodkända MC (efter 17/6 1999)</w:t>
      </w:r>
    </w:p>
    <w:p w14:paraId="2D5DEF2F" w14:textId="77777777" w:rsidR="00956064" w:rsidRDefault="002007A8" w:rsidP="002007A8">
      <w:pPr>
        <w:pStyle w:val="Liststycke"/>
        <w:numPr>
          <w:ilvl w:val="0"/>
          <w:numId w:val="14"/>
        </w:numPr>
        <w:spacing w:after="120"/>
      </w:pPr>
      <w:r>
        <w:t>K</w:t>
      </w:r>
      <w:r w:rsidR="00956064" w:rsidRPr="002007A8">
        <w:t xml:space="preserve">raven i </w:t>
      </w:r>
      <w:r w:rsidRPr="002007A8">
        <w:t xml:space="preserve">VVFS </w:t>
      </w:r>
      <w:r w:rsidR="00956064" w:rsidRPr="002007A8">
        <w:t>2003:23 skall vara uppfyllda</w:t>
      </w:r>
      <w:r w:rsidRPr="002007A8">
        <w:t xml:space="preserve"> efter ändringen</w:t>
      </w:r>
    </w:p>
    <w:p w14:paraId="07ADB897" w14:textId="77777777" w:rsidR="002007A8" w:rsidRPr="002007A8" w:rsidRDefault="002007A8" w:rsidP="002007A8">
      <w:pPr>
        <w:pStyle w:val="Liststycke"/>
        <w:numPr>
          <w:ilvl w:val="0"/>
          <w:numId w:val="14"/>
        </w:numPr>
        <w:spacing w:after="120"/>
      </w:pPr>
      <w:r>
        <w:t>Ändringarna ska vara av mindre karaktär (</w:t>
      </w:r>
      <w:r w:rsidRPr="002007A8">
        <w:t>anpassning till förarens kroppsbyggnad, anpassning till användningssätt samt anpassning till ett visst vägunderlag</w:t>
      </w:r>
      <w:r>
        <w:t xml:space="preserve"> etc.)</w:t>
      </w:r>
    </w:p>
    <w:p w14:paraId="2E8F3C84" w14:textId="77777777" w:rsidR="00C771DE" w:rsidRDefault="00C771DE" w:rsidP="00C771DE"/>
    <w:p w14:paraId="48116E9E" w14:textId="77777777" w:rsidR="00C771DE" w:rsidRPr="007F3394" w:rsidRDefault="00C771DE" w:rsidP="00C771DE">
      <w:pPr>
        <w:numPr>
          <w:ilvl w:val="0"/>
          <w:numId w:val="3"/>
        </w:numPr>
        <w:suppressAutoHyphens w:val="0"/>
        <w:spacing w:after="120" w:line="240" w:lineRule="auto"/>
      </w:pPr>
      <w:r w:rsidRPr="007F3394">
        <w:t>Förändring av sitthöjd genom höjning/sänkning fram och bak.</w:t>
      </w:r>
      <w:r w:rsidRPr="007F3394">
        <w:br/>
        <w:t>Krav: Tillräcklig fjädringsväg/frigång, oförändrat försprång.</w:t>
      </w:r>
    </w:p>
    <w:p w14:paraId="5FCD74FE" w14:textId="77777777" w:rsidR="00C771DE" w:rsidRPr="007F3394" w:rsidRDefault="00C771DE" w:rsidP="00C771DE">
      <w:pPr>
        <w:numPr>
          <w:ilvl w:val="0"/>
          <w:numId w:val="3"/>
        </w:numPr>
        <w:suppressAutoHyphens w:val="0"/>
        <w:spacing w:after="120" w:line="240" w:lineRule="auto"/>
      </w:pPr>
      <w:r w:rsidRPr="007F3394">
        <w:t>Flyttning av fotreglage och/eller fotstöd.</w:t>
      </w:r>
      <w:r w:rsidRPr="007F3394">
        <w:br/>
        <w:t>Krav: Säker fastsättning.</w:t>
      </w:r>
      <w:r w:rsidR="00254A2A" w:rsidRPr="007F3394">
        <w:t xml:space="preserve"> Bibehållna bromskomponenter.</w:t>
      </w:r>
    </w:p>
    <w:p w14:paraId="680E2D0E" w14:textId="77777777" w:rsidR="00C771DE" w:rsidRPr="007F3394" w:rsidRDefault="00C771DE" w:rsidP="00C771DE">
      <w:pPr>
        <w:numPr>
          <w:ilvl w:val="0"/>
          <w:numId w:val="3"/>
        </w:numPr>
        <w:suppressAutoHyphens w:val="0"/>
        <w:spacing w:after="120" w:line="240" w:lineRule="auto"/>
      </w:pPr>
      <w:r w:rsidRPr="007F3394">
        <w:t>Byte av styre.</w:t>
      </w:r>
      <w:r w:rsidRPr="007F3394">
        <w:br/>
        <w:t>Krav: Fastsättning, frigång.</w:t>
      </w:r>
    </w:p>
    <w:p w14:paraId="02E36ACD" w14:textId="77777777" w:rsidR="00C771DE" w:rsidRPr="007F3394" w:rsidRDefault="00C771DE" w:rsidP="00C771DE">
      <w:pPr>
        <w:numPr>
          <w:ilvl w:val="0"/>
          <w:numId w:val="3"/>
        </w:numPr>
        <w:suppressAutoHyphens w:val="0"/>
        <w:spacing w:after="120" w:line="240" w:lineRule="auto"/>
      </w:pPr>
      <w:r w:rsidRPr="007F3394">
        <w:t>Byte av sittdyna/sadel.</w:t>
      </w:r>
      <w:r w:rsidRPr="007F3394">
        <w:br/>
        <w:t>Krav: Fastsättning.</w:t>
      </w:r>
      <w:r w:rsidR="00254A2A" w:rsidRPr="007F3394">
        <w:t xml:space="preserve"> Antal passagerare oförändrat.</w:t>
      </w:r>
    </w:p>
    <w:p w14:paraId="6984DF7C" w14:textId="77777777" w:rsidR="00C771DE" w:rsidRPr="007F3394" w:rsidRDefault="002007A8" w:rsidP="00C771DE">
      <w:pPr>
        <w:numPr>
          <w:ilvl w:val="0"/>
          <w:numId w:val="3"/>
        </w:numPr>
        <w:suppressAutoHyphens w:val="0"/>
        <w:spacing w:after="120" w:line="240" w:lineRule="auto"/>
      </w:pPr>
      <w:r w:rsidRPr="007F3394">
        <w:t>Ändring och/eller</w:t>
      </w:r>
      <w:r w:rsidR="000B6875" w:rsidRPr="007F3394">
        <w:t xml:space="preserve"> u</w:t>
      </w:r>
      <w:r w:rsidR="00C771DE" w:rsidRPr="007F3394">
        <w:t>tökning av befintlig belysni</w:t>
      </w:r>
      <w:r w:rsidRPr="007F3394">
        <w:t>ng.</w:t>
      </w:r>
      <w:r w:rsidRPr="007F3394">
        <w:br/>
        <w:t xml:space="preserve">Krav: Placering, E-märkning </w:t>
      </w:r>
      <w:r w:rsidR="000B6875" w:rsidRPr="007F3394">
        <w:t xml:space="preserve">och typ. Max </w:t>
      </w:r>
      <w:r w:rsidRPr="007F3394">
        <w:t>två</w:t>
      </w:r>
      <w:r w:rsidR="000B6875" w:rsidRPr="007F3394">
        <w:t xml:space="preserve"> halvljus</w:t>
      </w:r>
    </w:p>
    <w:p w14:paraId="297E8DEA" w14:textId="77777777" w:rsidR="00C771DE" w:rsidRPr="007F3394" w:rsidRDefault="00C771DE" w:rsidP="00C771DE">
      <w:pPr>
        <w:numPr>
          <w:ilvl w:val="0"/>
          <w:numId w:val="3"/>
        </w:numPr>
        <w:spacing w:after="120"/>
      </w:pPr>
      <w:r w:rsidRPr="007F3394">
        <w:t xml:space="preserve">Byte av tank till </w:t>
      </w:r>
      <w:r w:rsidR="002007A8" w:rsidRPr="007F3394">
        <w:t xml:space="preserve">annat utförande/annan form, tankvolym oförändrad </w:t>
      </w:r>
      <w:r w:rsidRPr="007F3394">
        <w:br/>
        <w:t>Krav: Frigång</w:t>
      </w:r>
      <w:r w:rsidR="00A865C7" w:rsidRPr="007F3394">
        <w:t>.</w:t>
      </w:r>
    </w:p>
    <w:p w14:paraId="771709C5" w14:textId="77777777" w:rsidR="00C771DE" w:rsidRPr="007F3394" w:rsidRDefault="00C771DE" w:rsidP="00C771DE">
      <w:pPr>
        <w:numPr>
          <w:ilvl w:val="0"/>
          <w:numId w:val="3"/>
        </w:numPr>
        <w:suppressAutoHyphens w:val="0"/>
        <w:spacing w:after="120" w:line="240" w:lineRule="auto"/>
      </w:pPr>
      <w:r w:rsidRPr="007F3394">
        <w:t xml:space="preserve">Annan </w:t>
      </w:r>
      <w:r w:rsidR="0083132E" w:rsidRPr="007F3394">
        <w:t xml:space="preserve">fälg med samma </w:t>
      </w:r>
      <w:r w:rsidRPr="007F3394">
        <w:t>hjuldimension.</w:t>
      </w:r>
      <w:r w:rsidRPr="007F3394">
        <w:br/>
        <w:t xml:space="preserve">Krav: Frigång, max </w:t>
      </w:r>
      <w:proofErr w:type="gramStart"/>
      <w:r w:rsidRPr="007F3394">
        <w:t>5%</w:t>
      </w:r>
      <w:proofErr w:type="gramEnd"/>
      <w:r w:rsidRPr="007F3394">
        <w:t xml:space="preserve"> avvikelse</w:t>
      </w:r>
      <w:r w:rsidR="0083132E" w:rsidRPr="007F3394">
        <w:t xml:space="preserve"> från original rullningsomkrets</w:t>
      </w:r>
      <w:r w:rsidR="002007A8" w:rsidRPr="007F3394">
        <w:t>,</w:t>
      </w:r>
      <w:r w:rsidR="0083132E" w:rsidRPr="007F3394">
        <w:t xml:space="preserve"> bredd</w:t>
      </w:r>
    </w:p>
    <w:p w14:paraId="49DEBA82" w14:textId="77777777" w:rsidR="00C771DE" w:rsidRPr="007F3394" w:rsidRDefault="000B6875" w:rsidP="00C771DE">
      <w:pPr>
        <w:numPr>
          <w:ilvl w:val="0"/>
          <w:numId w:val="3"/>
        </w:numPr>
        <w:suppressAutoHyphens w:val="0"/>
        <w:spacing w:after="120" w:line="240" w:lineRule="auto"/>
      </w:pPr>
      <w:r w:rsidRPr="007F3394">
        <w:t>D</w:t>
      </w:r>
      <w:r w:rsidR="00C771DE" w:rsidRPr="007F3394">
        <w:t>äck avsedda för annat underlag ex. ”</w:t>
      </w:r>
      <w:proofErr w:type="spellStart"/>
      <w:r w:rsidR="00C771DE" w:rsidRPr="007F3394">
        <w:t>supermotard</w:t>
      </w:r>
      <w:proofErr w:type="spellEnd"/>
      <w:r w:rsidR="00C771DE" w:rsidRPr="007F3394">
        <w:t>”.</w:t>
      </w:r>
      <w:r w:rsidR="00C771DE" w:rsidRPr="007F3394">
        <w:br/>
        <w:t xml:space="preserve">Krav: Frigång, max </w:t>
      </w:r>
      <w:proofErr w:type="gramStart"/>
      <w:r w:rsidR="00C771DE" w:rsidRPr="007F3394">
        <w:t>5%</w:t>
      </w:r>
      <w:proofErr w:type="gramEnd"/>
      <w:r w:rsidR="00C771DE" w:rsidRPr="007F3394">
        <w:t xml:space="preserve"> avvikelse från original rullningsomkrets.</w:t>
      </w:r>
      <w:r w:rsidRPr="007F3394">
        <w:t xml:space="preserve"> STRO godkänd</w:t>
      </w:r>
      <w:r w:rsidR="002007A8" w:rsidRPr="007F3394">
        <w:t xml:space="preserve"> kombination av däck och fälg.</w:t>
      </w:r>
    </w:p>
    <w:p w14:paraId="00A5F575" w14:textId="77777777" w:rsidR="00C771DE" w:rsidRPr="007F3394" w:rsidRDefault="00C771DE" w:rsidP="00C771DE">
      <w:pPr>
        <w:numPr>
          <w:ilvl w:val="0"/>
          <w:numId w:val="3"/>
        </w:numPr>
        <w:suppressAutoHyphens w:val="0"/>
        <w:spacing w:after="120" w:line="240" w:lineRule="auto"/>
      </w:pPr>
      <w:r w:rsidRPr="007F3394">
        <w:t>Montering av vindavvisare.</w:t>
      </w:r>
      <w:r w:rsidRPr="007F3394">
        <w:br/>
        <w:t>Krav: Säker montering.</w:t>
      </w:r>
    </w:p>
    <w:p w14:paraId="79C63004" w14:textId="77777777" w:rsidR="00C771DE" w:rsidRPr="007F3394" w:rsidRDefault="00C771DE" w:rsidP="00C771DE">
      <w:pPr>
        <w:numPr>
          <w:ilvl w:val="0"/>
          <w:numId w:val="3"/>
        </w:numPr>
        <w:spacing w:after="120"/>
      </w:pPr>
      <w:r w:rsidRPr="007F3394">
        <w:lastRenderedPageBreak/>
        <w:t>Byte av utblåsningsrör och/eller ljuddämpare.</w:t>
      </w:r>
      <w:r w:rsidRPr="007F3394">
        <w:br/>
        <w:t xml:space="preserve">Krav: Den föreskrivna ljudnivån får </w:t>
      </w:r>
      <w:proofErr w:type="gramStart"/>
      <w:r w:rsidRPr="007F3394">
        <w:t>ej</w:t>
      </w:r>
      <w:proofErr w:type="gramEnd"/>
      <w:r w:rsidRPr="007F3394">
        <w:t xml:space="preserve"> överskridas.</w:t>
      </w:r>
    </w:p>
    <w:p w14:paraId="432CF13B" w14:textId="77777777" w:rsidR="00AD41FA" w:rsidRPr="007F3394" w:rsidRDefault="00C771DE" w:rsidP="00AD41FA">
      <w:pPr>
        <w:numPr>
          <w:ilvl w:val="0"/>
          <w:numId w:val="3"/>
        </w:numPr>
        <w:spacing w:after="120"/>
      </w:pPr>
      <w:r w:rsidRPr="007F3394">
        <w:t>Byte av framgaffel och/eller gaffelkrona till annat fabrikat</w:t>
      </w:r>
      <w:r w:rsidR="001F57B7" w:rsidRPr="007F3394">
        <w:t xml:space="preserve"> eller typ</w:t>
      </w:r>
      <w:r w:rsidRPr="007F3394">
        <w:t>.</w:t>
      </w:r>
      <w:r w:rsidRPr="007F3394">
        <w:br/>
        <w:t xml:space="preserve"> Krav: </w:t>
      </w:r>
      <w:r w:rsidR="002007A8" w:rsidRPr="007F3394">
        <w:t>A</w:t>
      </w:r>
      <w:r w:rsidR="00AD41FA" w:rsidRPr="007F3394">
        <w:t xml:space="preserve">xelavstånd, </w:t>
      </w:r>
      <w:r w:rsidRPr="007F3394">
        <w:t>typ</w:t>
      </w:r>
      <w:r w:rsidR="002007A8" w:rsidRPr="007F3394">
        <w:t xml:space="preserve"> av gaffel</w:t>
      </w:r>
      <w:r w:rsidRPr="007F3394">
        <w:t>, lutning, längd, försprång</w:t>
      </w:r>
      <w:r w:rsidR="001F57B7" w:rsidRPr="007F3394">
        <w:t xml:space="preserve"> och </w:t>
      </w:r>
      <w:r w:rsidR="002007A8" w:rsidRPr="007F3394">
        <w:t>fjädrings</w:t>
      </w:r>
      <w:r w:rsidR="001F57B7" w:rsidRPr="007F3394">
        <w:t>funktion</w:t>
      </w:r>
      <w:r w:rsidR="002007A8" w:rsidRPr="007F3394">
        <w:t xml:space="preserve"> oförändrad</w:t>
      </w:r>
      <w:r w:rsidRPr="007F3394">
        <w:t xml:space="preserve">. </w:t>
      </w:r>
      <w:r w:rsidR="00AD41FA" w:rsidRPr="007F3394">
        <w:t>Köregenskaper i huvudsak oförändrade.</w:t>
      </w:r>
    </w:p>
    <w:p w14:paraId="2E2F397B" w14:textId="77777777" w:rsidR="00FC6E0A" w:rsidRDefault="00FC6E0A" w:rsidP="00FC6E0A">
      <w:pPr>
        <w:spacing w:after="120"/>
        <w:rPr>
          <w:b/>
          <w:color w:val="000000" w:themeColor="text1"/>
        </w:rPr>
      </w:pPr>
    </w:p>
    <w:p w14:paraId="283F1910" w14:textId="77777777" w:rsidR="007F3394" w:rsidRDefault="007F3394" w:rsidP="00FC6E0A">
      <w:pPr>
        <w:spacing w:after="120"/>
        <w:rPr>
          <w:b/>
          <w:color w:val="000000" w:themeColor="text1"/>
        </w:rPr>
      </w:pPr>
    </w:p>
    <w:p w14:paraId="62B4DBAA" w14:textId="77777777" w:rsidR="00C771DE" w:rsidRPr="009C7602" w:rsidRDefault="00C771DE" w:rsidP="00C771DE">
      <w:pPr>
        <w:pStyle w:val="Rubrik2"/>
        <w:rPr>
          <w:rStyle w:val="Starkbetoning"/>
        </w:rPr>
      </w:pPr>
      <w:r w:rsidRPr="009C7602">
        <w:rPr>
          <w:rStyle w:val="Starkbetoning"/>
        </w:rPr>
        <w:t>Större modifieringar där registreringsbesiktning krävs</w:t>
      </w:r>
    </w:p>
    <w:p w14:paraId="4F5BE5AB" w14:textId="77777777" w:rsidR="00C771DE" w:rsidRPr="009C7602" w:rsidRDefault="00C771DE" w:rsidP="00C771DE">
      <w:pPr>
        <w:rPr>
          <w:b/>
        </w:rPr>
      </w:pPr>
      <w:r w:rsidRPr="009C7602">
        <w:rPr>
          <w:b/>
        </w:rPr>
        <w:t>Ombyggd Mc har följande definition:</w:t>
      </w:r>
    </w:p>
    <w:p w14:paraId="1386B3F4" w14:textId="77777777" w:rsidR="00C1341E" w:rsidRDefault="00C1341E" w:rsidP="00C1341E">
      <w:r>
        <w:t xml:space="preserve">Serietillverkat fordon som tidigare har tagits i bruk och med utgångspunkt från den ursprungliga stommen och karosseriet ändrats av enskild person för eget bruk i sådan omfattning att tidigare egenskaper eller prestanda i större grad förändrats. </w:t>
      </w:r>
    </w:p>
    <w:p w14:paraId="31B26185" w14:textId="77777777" w:rsidR="000A6814" w:rsidRDefault="000A6814" w:rsidP="00C1341E">
      <w:r>
        <w:t>Följande större ombyggnader av</w:t>
      </w:r>
      <w:r w:rsidR="00827E41">
        <w:t xml:space="preserve"> </w:t>
      </w:r>
      <w:r>
        <w:t>två- och trehjuliga motorcyklar omfattas</w:t>
      </w:r>
      <w:r w:rsidR="00827E41">
        <w:t xml:space="preserve"> </w:t>
      </w:r>
      <w:r>
        <w:t>var för sig av definitionen.</w:t>
      </w:r>
    </w:p>
    <w:p w14:paraId="235408E7" w14:textId="77777777" w:rsidR="000A6814" w:rsidRDefault="000A6814" w:rsidP="000A6814">
      <w:r>
        <w:t>1. huvudramen har ändrats</w:t>
      </w:r>
      <w:r w:rsidR="00C1341E">
        <w:t xml:space="preserve"> (</w:t>
      </w:r>
      <w:r w:rsidR="00C1341E" w:rsidRPr="00C1341E">
        <w:t xml:space="preserve">i sådan omfattning att motorcykelns försprång och/eller axelavstånd </w:t>
      </w:r>
      <w:proofErr w:type="spellStart"/>
      <w:r w:rsidR="00C1341E" w:rsidRPr="00C1341E">
        <w:t>förändrats</w:t>
      </w:r>
      <w:r w:rsidR="00C1341E">
        <w:rPr>
          <w:vertAlign w:val="superscript"/>
        </w:rPr>
        <w:t>I</w:t>
      </w:r>
      <w:proofErr w:type="spellEnd"/>
      <w:r w:rsidR="00C1341E">
        <w:t>)</w:t>
      </w:r>
      <w:r>
        <w:t>,</w:t>
      </w:r>
    </w:p>
    <w:p w14:paraId="69E65ABC" w14:textId="77777777" w:rsidR="000A6814" w:rsidRDefault="000A6814" w:rsidP="000A6814">
      <w:r>
        <w:t>2. bakvagnsramen har ändrats</w:t>
      </w:r>
      <w:r w:rsidR="00827E41">
        <w:t xml:space="preserve"> </w:t>
      </w:r>
      <w:r>
        <w:t>eller bytts ut</w:t>
      </w:r>
      <w:r w:rsidR="00C1341E">
        <w:t xml:space="preserve"> (</w:t>
      </w:r>
      <w:r w:rsidR="00C1341E" w:rsidRPr="00C1341E">
        <w:t xml:space="preserve">i sådan omfattning att motorcykelns försprång och/eller axelavstånd </w:t>
      </w:r>
      <w:proofErr w:type="spellStart"/>
      <w:r w:rsidR="00C1341E" w:rsidRPr="00C1341E">
        <w:t>förändrats</w:t>
      </w:r>
      <w:r w:rsidR="00C1341E">
        <w:rPr>
          <w:vertAlign w:val="superscript"/>
        </w:rPr>
        <w:t>I</w:t>
      </w:r>
      <w:proofErr w:type="spellEnd"/>
      <w:r w:rsidR="00C1341E">
        <w:t>)</w:t>
      </w:r>
      <w:r>
        <w:t>, eller</w:t>
      </w:r>
    </w:p>
    <w:p w14:paraId="4533CFD0" w14:textId="77777777" w:rsidR="000A6814" w:rsidRDefault="000A6814" w:rsidP="000A6814">
      <w:r>
        <w:t>3. tvåhjulig motorcykel har</w:t>
      </w:r>
      <w:r w:rsidR="00827E41">
        <w:t xml:space="preserve"> </w:t>
      </w:r>
      <w:r>
        <w:t>ändrats</w:t>
      </w:r>
    </w:p>
    <w:p w14:paraId="6FB83F84" w14:textId="77777777" w:rsidR="000A6814" w:rsidRDefault="000A6814" w:rsidP="000A6814">
      <w:r>
        <w:t xml:space="preserve"> a) till tvåhjulig motorcykel</w:t>
      </w:r>
      <w:r w:rsidR="00827E41">
        <w:t xml:space="preserve"> </w:t>
      </w:r>
      <w:r>
        <w:t>med permanent monterad</w:t>
      </w:r>
      <w:r w:rsidR="00827E41">
        <w:t xml:space="preserve"> </w:t>
      </w:r>
      <w:r>
        <w:t>sidvagn, eller</w:t>
      </w:r>
    </w:p>
    <w:p w14:paraId="0A69ACCF" w14:textId="77777777" w:rsidR="000A6814" w:rsidRDefault="000A6814" w:rsidP="000A6814">
      <w:r>
        <w:t>b) till trehjulig motorcykel</w:t>
      </w:r>
      <w:r w:rsidR="00827E41">
        <w:t xml:space="preserve"> </w:t>
      </w:r>
      <w:r>
        <w:t>med tre symmetriskt placerade</w:t>
      </w:r>
      <w:r w:rsidR="00827E41">
        <w:t xml:space="preserve"> </w:t>
      </w:r>
      <w:r>
        <w:t>hjul.</w:t>
      </w:r>
    </w:p>
    <w:p w14:paraId="13172C70" w14:textId="77777777" w:rsidR="000A6814" w:rsidRDefault="000A6814" w:rsidP="000A6814">
      <w:r>
        <w:t>Följande ombyggnader omfattas av</w:t>
      </w:r>
      <w:r w:rsidR="00827E41">
        <w:t xml:space="preserve"> </w:t>
      </w:r>
      <w:r>
        <w:t>definitionen först i kombination med</w:t>
      </w:r>
      <w:r w:rsidR="00827E41">
        <w:t xml:space="preserve"> </w:t>
      </w:r>
      <w:r>
        <w:t>ytterligare definierad ombyggnad.</w:t>
      </w:r>
    </w:p>
    <w:p w14:paraId="7B1070BE" w14:textId="77777777" w:rsidR="000A6814" w:rsidRDefault="000A6814" w:rsidP="000A6814">
      <w:r>
        <w:t>1. motor med kraftöverföring</w:t>
      </w:r>
      <w:r w:rsidR="00827E41">
        <w:t xml:space="preserve"> </w:t>
      </w:r>
      <w:r>
        <w:t>har bytts ut,</w:t>
      </w:r>
    </w:p>
    <w:p w14:paraId="40C221BC" w14:textId="77777777" w:rsidR="000A6814" w:rsidRDefault="000A6814" w:rsidP="000A6814">
      <w:r>
        <w:t>2. framgaffel har bytts ut,</w:t>
      </w:r>
    </w:p>
    <w:p w14:paraId="7294F4BF" w14:textId="77777777" w:rsidR="000A6814" w:rsidRDefault="000A6814" w:rsidP="000A6814">
      <w:r>
        <w:t>3. hjulupphängning bak har</w:t>
      </w:r>
      <w:r w:rsidR="00827E41">
        <w:t xml:space="preserve"> </w:t>
      </w:r>
      <w:r>
        <w:t>bytts ut eller ändrats, eller</w:t>
      </w:r>
    </w:p>
    <w:p w14:paraId="577E4037" w14:textId="77777777" w:rsidR="000A6814" w:rsidRDefault="000A6814" w:rsidP="000A6814">
      <w:r>
        <w:t>4. bromssystem har bytts ut.</w:t>
      </w:r>
    </w:p>
    <w:p w14:paraId="21726F80" w14:textId="77777777" w:rsidR="00C1341E" w:rsidRDefault="00C1341E" w:rsidP="00C771DE"/>
    <w:p w14:paraId="3E2C3C18" w14:textId="77777777" w:rsidR="00C1341E" w:rsidRDefault="00C1341E" w:rsidP="00C771DE">
      <w:r>
        <w:t>I: förklarande text inom parentes är förtydligande enligt överenskommelse mellan besiktningsorganen och SFRO</w:t>
      </w:r>
    </w:p>
    <w:p w14:paraId="420A4035" w14:textId="77777777" w:rsidR="00C771DE" w:rsidRDefault="00C771DE" w:rsidP="00C771DE">
      <w:r>
        <w:br w:type="page"/>
      </w:r>
      <w:r>
        <w:lastRenderedPageBreak/>
        <w:t>Lathunden (Motorcykel):</w:t>
      </w:r>
    </w:p>
    <w:tbl>
      <w:tblPr>
        <w:tblW w:w="9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575"/>
        <w:gridCol w:w="1487"/>
      </w:tblGrid>
      <w:tr w:rsidR="00C771DE" w14:paraId="2DAC10DB" w14:textId="77777777" w:rsidTr="005863E3">
        <w:trPr>
          <w:trHeight w:val="530"/>
        </w:trPr>
        <w:tc>
          <w:tcPr>
            <w:tcW w:w="0" w:type="auto"/>
          </w:tcPr>
          <w:p w14:paraId="1E4E02C7" w14:textId="77777777" w:rsidR="00C771DE" w:rsidRDefault="00C771DE" w:rsidP="00FC6E0A">
            <w:pPr>
              <w:rPr>
                <w:b/>
              </w:rPr>
            </w:pPr>
            <w:r>
              <w:rPr>
                <w:b/>
              </w:rPr>
              <w:t>Typ av åtgärd</w:t>
            </w:r>
          </w:p>
        </w:tc>
        <w:tc>
          <w:tcPr>
            <w:tcW w:w="0" w:type="auto"/>
          </w:tcPr>
          <w:p w14:paraId="31CD57BF" w14:textId="77777777" w:rsidR="00C771DE" w:rsidRPr="001E4F3B" w:rsidRDefault="00C771DE" w:rsidP="00FC6E0A">
            <w:r>
              <w:t>Klassificering</w:t>
            </w:r>
          </w:p>
        </w:tc>
      </w:tr>
      <w:tr w:rsidR="00C771DE" w14:paraId="79BAD79B" w14:textId="77777777" w:rsidTr="005863E3">
        <w:trPr>
          <w:trHeight w:val="546"/>
        </w:trPr>
        <w:tc>
          <w:tcPr>
            <w:tcW w:w="0" w:type="auto"/>
          </w:tcPr>
          <w:p w14:paraId="3D0F6C90" w14:textId="28A874F6" w:rsidR="00C771DE" w:rsidRPr="007F3394" w:rsidRDefault="00C771DE" w:rsidP="00C1341E">
            <w:pPr>
              <w:rPr>
                <w:b/>
              </w:rPr>
            </w:pPr>
            <w:r w:rsidRPr="007F3394">
              <w:t xml:space="preserve">Motorbyte </w:t>
            </w:r>
            <w:r w:rsidR="00C547BE" w:rsidRPr="007F3394">
              <w:t xml:space="preserve">med </w:t>
            </w:r>
            <w:r w:rsidR="005863E3" w:rsidRPr="007F3394">
              <w:t>m</w:t>
            </w:r>
            <w:r w:rsidRPr="007F3394">
              <w:t>ax 20</w:t>
            </w:r>
            <w:r w:rsidR="00C1341E" w:rsidRPr="007F3394">
              <w:t xml:space="preserve"> </w:t>
            </w:r>
            <w:r w:rsidRPr="007F3394">
              <w:t>%</w:t>
            </w:r>
            <w:r w:rsidR="00C547BE" w:rsidRPr="007F3394">
              <w:t xml:space="preserve"> ökning av effekt</w:t>
            </w:r>
            <w:r w:rsidRPr="007F3394">
              <w:t xml:space="preserve"> </w:t>
            </w:r>
            <w:r w:rsidR="00A865C7" w:rsidRPr="007F3394">
              <w:t>och/</w:t>
            </w:r>
            <w:r w:rsidRPr="007F3394">
              <w:t>eller vridmoment.</w:t>
            </w:r>
            <w:r w:rsidR="00996421" w:rsidRPr="007F3394">
              <w:t xml:space="preserve"> </w:t>
            </w:r>
            <w:r w:rsidR="00C1341E" w:rsidRPr="007F3394">
              <w:t>Ä</w:t>
            </w:r>
            <w:r w:rsidR="00996421" w:rsidRPr="007F3394">
              <w:t>ndringar av motorfästen/plåtar utan ändring av huvudram</w:t>
            </w:r>
            <w:r w:rsidR="00C1341E" w:rsidRPr="007F3394">
              <w:t xml:space="preserve"> tillåts</w:t>
            </w:r>
            <w:r w:rsidR="00996421" w:rsidRPr="007F3394">
              <w:t>.</w:t>
            </w:r>
            <w:r w:rsidR="007647D5" w:rsidRPr="007F3394">
              <w:t xml:space="preserve"> </w:t>
            </w:r>
          </w:p>
        </w:tc>
        <w:tc>
          <w:tcPr>
            <w:tcW w:w="0" w:type="auto"/>
          </w:tcPr>
          <w:p w14:paraId="13C4A356" w14:textId="64A390C4" w:rsidR="00C771DE" w:rsidRPr="007F3394" w:rsidRDefault="00C771DE" w:rsidP="00FC6E0A">
            <w:pPr>
              <w:rPr>
                <w:vertAlign w:val="superscript"/>
              </w:rPr>
            </w:pPr>
            <w:r w:rsidRPr="007F3394">
              <w:t>Ändrat</w:t>
            </w:r>
          </w:p>
        </w:tc>
      </w:tr>
      <w:tr w:rsidR="00C771DE" w14:paraId="09921AB4" w14:textId="77777777" w:rsidTr="005863E3">
        <w:trPr>
          <w:trHeight w:val="1186"/>
        </w:trPr>
        <w:tc>
          <w:tcPr>
            <w:tcW w:w="0" w:type="auto"/>
          </w:tcPr>
          <w:p w14:paraId="0FEE4C73" w14:textId="3929582C" w:rsidR="00C771DE" w:rsidRPr="007F3394" w:rsidRDefault="007F3394" w:rsidP="007647D5">
            <w:r w:rsidRPr="007F3394">
              <w:t>Ombyg</w:t>
            </w:r>
            <w:r w:rsidR="00C771DE" w:rsidRPr="007F3394">
              <w:t xml:space="preserve">gnad från fjädrad </w:t>
            </w:r>
            <w:r w:rsidRPr="007F3394">
              <w:t xml:space="preserve">till stel </w:t>
            </w:r>
            <w:proofErr w:type="spellStart"/>
            <w:r w:rsidRPr="007F3394">
              <w:t>bakram</w:t>
            </w:r>
            <w:proofErr w:type="spellEnd"/>
            <w:r w:rsidRPr="007F3394">
              <w:t xml:space="preserve"> genom utbyte av bakramen, eller vice versa.</w:t>
            </w:r>
          </w:p>
        </w:tc>
        <w:tc>
          <w:tcPr>
            <w:tcW w:w="0" w:type="auto"/>
          </w:tcPr>
          <w:p w14:paraId="43F7840F" w14:textId="77777777" w:rsidR="00C771DE" w:rsidRPr="007F3394" w:rsidRDefault="00C771DE" w:rsidP="00CE729B">
            <w:r w:rsidRPr="007F3394">
              <w:t>Ombyggt</w:t>
            </w:r>
          </w:p>
        </w:tc>
      </w:tr>
      <w:tr w:rsidR="005863E3" w14:paraId="5AC36257" w14:textId="77777777" w:rsidTr="005863E3">
        <w:trPr>
          <w:trHeight w:val="1186"/>
        </w:trPr>
        <w:tc>
          <w:tcPr>
            <w:tcW w:w="0" w:type="auto"/>
          </w:tcPr>
          <w:p w14:paraId="45172A68" w14:textId="4C47742E" w:rsidR="005863E3" w:rsidRPr="007F3394" w:rsidRDefault="005863E3" w:rsidP="007F3394">
            <w:r w:rsidRPr="007F3394">
              <w:t xml:space="preserve">Motorbyte </w:t>
            </w:r>
            <w:r w:rsidR="00C1341E" w:rsidRPr="007F3394">
              <w:t>plus</w:t>
            </w:r>
            <w:r w:rsidR="00AE2BF4" w:rsidRPr="007F3394">
              <w:t xml:space="preserve"> mindre</w:t>
            </w:r>
            <w:r w:rsidR="00C1341E" w:rsidRPr="007F3394">
              <w:t xml:space="preserve"> anpassning av huvud</w:t>
            </w:r>
            <w:r w:rsidR="00203C74">
              <w:t>ram</w:t>
            </w:r>
            <w:r w:rsidR="007F3394" w:rsidRPr="007F3394">
              <w:t xml:space="preserve">, större del av </w:t>
            </w:r>
            <w:r w:rsidR="00203C74">
              <w:t>huvudram</w:t>
            </w:r>
            <w:r w:rsidR="007F3394" w:rsidRPr="007F3394">
              <w:t xml:space="preserve"> skall vara orörd.</w:t>
            </w:r>
          </w:p>
        </w:tc>
        <w:tc>
          <w:tcPr>
            <w:tcW w:w="0" w:type="auto"/>
          </w:tcPr>
          <w:p w14:paraId="24C2A868" w14:textId="77777777" w:rsidR="005863E3" w:rsidRPr="007F3394" w:rsidRDefault="001E1213" w:rsidP="00FC6E0A">
            <w:r w:rsidRPr="007F3394">
              <w:t>Ombyggt</w:t>
            </w:r>
          </w:p>
        </w:tc>
      </w:tr>
      <w:tr w:rsidR="00C771DE" w14:paraId="34D6D01F" w14:textId="77777777" w:rsidTr="005863E3">
        <w:trPr>
          <w:trHeight w:val="873"/>
        </w:trPr>
        <w:tc>
          <w:tcPr>
            <w:tcW w:w="0" w:type="auto"/>
          </w:tcPr>
          <w:p w14:paraId="14A0852A" w14:textId="3C72B823" w:rsidR="00C771DE" w:rsidRPr="007F3394" w:rsidRDefault="007F3394" w:rsidP="00FC6E0A">
            <w:r w:rsidRPr="007F3394">
              <w:t xml:space="preserve">Förändring i ramverk och </w:t>
            </w:r>
            <w:r w:rsidR="00C771DE" w:rsidRPr="007F3394">
              <w:t>förändring av framgaffel som medför förändring av; gaffellängd, gaffellut</w:t>
            </w:r>
            <w:r w:rsidRPr="007F3394">
              <w:t>ning, axelavstånd och försprång.</w:t>
            </w:r>
          </w:p>
        </w:tc>
        <w:tc>
          <w:tcPr>
            <w:tcW w:w="0" w:type="auto"/>
          </w:tcPr>
          <w:p w14:paraId="6D2162C3" w14:textId="77777777" w:rsidR="00C771DE" w:rsidRPr="007F3394" w:rsidRDefault="00C771DE" w:rsidP="00FC6E0A">
            <w:r w:rsidRPr="007F3394">
              <w:t>Ombyggt</w:t>
            </w:r>
          </w:p>
        </w:tc>
      </w:tr>
      <w:tr w:rsidR="00C771DE" w14:paraId="28B0BAE9" w14:textId="77777777" w:rsidTr="001E1213">
        <w:trPr>
          <w:trHeight w:val="610"/>
        </w:trPr>
        <w:tc>
          <w:tcPr>
            <w:tcW w:w="0" w:type="auto"/>
          </w:tcPr>
          <w:p w14:paraId="2FFB03B7" w14:textId="77777777" w:rsidR="00C771DE" w:rsidRPr="007F3394" w:rsidRDefault="00C1341E" w:rsidP="00C1341E">
            <w:r w:rsidRPr="007F3394">
              <w:t>Tvåh</w:t>
            </w:r>
            <w:r w:rsidR="00CE729B" w:rsidRPr="007F3394">
              <w:t xml:space="preserve">julig Mc ombyggd till </w:t>
            </w:r>
            <w:r w:rsidRPr="007F3394">
              <w:t>tre</w:t>
            </w:r>
            <w:r w:rsidR="00CE729B" w:rsidRPr="007F3394">
              <w:t>hjulig MC</w:t>
            </w:r>
          </w:p>
        </w:tc>
        <w:tc>
          <w:tcPr>
            <w:tcW w:w="0" w:type="auto"/>
          </w:tcPr>
          <w:p w14:paraId="4BCA3DC6" w14:textId="77777777" w:rsidR="00C771DE" w:rsidRPr="007F3394" w:rsidRDefault="00C771DE" w:rsidP="00FC6E0A">
            <w:r w:rsidRPr="007F3394">
              <w:t>Ombyggt</w:t>
            </w:r>
          </w:p>
        </w:tc>
      </w:tr>
      <w:tr w:rsidR="00C771DE" w14:paraId="08D44E4D" w14:textId="77777777" w:rsidTr="005863E3">
        <w:trPr>
          <w:trHeight w:val="530"/>
        </w:trPr>
        <w:tc>
          <w:tcPr>
            <w:tcW w:w="0" w:type="auto"/>
          </w:tcPr>
          <w:p w14:paraId="1EFF384A" w14:textId="77777777" w:rsidR="00C771DE" w:rsidRPr="007F3394" w:rsidRDefault="00C771DE" w:rsidP="00FC6E0A">
            <w:r w:rsidRPr="007F3394">
              <w:t>Mc modifierad för permanent monterad sidvagn.</w:t>
            </w:r>
          </w:p>
        </w:tc>
        <w:tc>
          <w:tcPr>
            <w:tcW w:w="0" w:type="auto"/>
          </w:tcPr>
          <w:p w14:paraId="401F38D6" w14:textId="77777777" w:rsidR="00C771DE" w:rsidRPr="007F3394" w:rsidRDefault="00C771DE" w:rsidP="00FC6E0A">
            <w:r w:rsidRPr="007F3394">
              <w:t>Ombyggt</w:t>
            </w:r>
          </w:p>
        </w:tc>
      </w:tr>
      <w:tr w:rsidR="00C771DE" w14:paraId="5E8EC281" w14:textId="77777777" w:rsidTr="005863E3">
        <w:trPr>
          <w:trHeight w:val="1201"/>
        </w:trPr>
        <w:tc>
          <w:tcPr>
            <w:tcW w:w="0" w:type="auto"/>
          </w:tcPr>
          <w:p w14:paraId="53CC8A4E" w14:textId="5814F98C" w:rsidR="00C771DE" w:rsidRPr="007F3394" w:rsidRDefault="00C771DE" w:rsidP="00C1341E">
            <w:r w:rsidRPr="007F3394">
              <w:t>Motorbyte</w:t>
            </w:r>
            <w:r w:rsidR="007F3394" w:rsidRPr="007F3394">
              <w:t xml:space="preserve"> eller ändring av</w:t>
            </w:r>
            <w:r w:rsidR="00496E14" w:rsidRPr="007F3394">
              <w:t xml:space="preserve"> motor</w:t>
            </w:r>
            <w:r w:rsidRPr="007F3394">
              <w:t xml:space="preserve"> </w:t>
            </w:r>
            <w:r w:rsidR="00C547BE" w:rsidRPr="007F3394">
              <w:t xml:space="preserve">med </w:t>
            </w:r>
            <w:r w:rsidRPr="007F3394">
              <w:t xml:space="preserve">över </w:t>
            </w:r>
            <w:proofErr w:type="gramStart"/>
            <w:r w:rsidRPr="007F3394">
              <w:t>20%</w:t>
            </w:r>
            <w:proofErr w:type="gramEnd"/>
            <w:r w:rsidR="00C547BE" w:rsidRPr="007F3394">
              <w:t xml:space="preserve"> ökning av effekt</w:t>
            </w:r>
            <w:r w:rsidRPr="007F3394">
              <w:t xml:space="preserve"> </w:t>
            </w:r>
            <w:r w:rsidR="00A865C7" w:rsidRPr="007F3394">
              <w:t>och/</w:t>
            </w:r>
            <w:r w:rsidRPr="007F3394">
              <w:t>eller vridmoment</w:t>
            </w:r>
            <w:r w:rsidR="00C1341E" w:rsidRPr="007F3394">
              <w:t>, samt ytterligare ändringar enligt definition för ombyggt fordon vilka motiverar den högre effekten/vridmomentet</w:t>
            </w:r>
            <w:r w:rsidR="007F3394" w:rsidRPr="007F3394">
              <w:t>.</w:t>
            </w:r>
          </w:p>
        </w:tc>
        <w:tc>
          <w:tcPr>
            <w:tcW w:w="0" w:type="auto"/>
          </w:tcPr>
          <w:p w14:paraId="68E2C43A" w14:textId="77777777" w:rsidR="00C771DE" w:rsidRPr="007F3394" w:rsidRDefault="00C771DE" w:rsidP="00FC6E0A">
            <w:r w:rsidRPr="007F3394">
              <w:t>Ombyggt</w:t>
            </w:r>
          </w:p>
        </w:tc>
      </w:tr>
      <w:tr w:rsidR="00C771DE" w14:paraId="187707E3" w14:textId="77777777" w:rsidTr="005863E3">
        <w:trPr>
          <w:trHeight w:val="530"/>
        </w:trPr>
        <w:tc>
          <w:tcPr>
            <w:tcW w:w="0" w:type="auto"/>
          </w:tcPr>
          <w:p w14:paraId="25C8BC1C" w14:textId="77777777" w:rsidR="00C771DE" w:rsidRPr="007F3394" w:rsidRDefault="00C771DE" w:rsidP="00FC6E0A">
            <w:r w:rsidRPr="007F3394">
              <w:t>Ändring från drift med förbränningsmotor till drift med elmotor</w:t>
            </w:r>
            <w:r w:rsidR="00C547BE" w:rsidRPr="007F3394">
              <w:t>.</w:t>
            </w:r>
          </w:p>
        </w:tc>
        <w:tc>
          <w:tcPr>
            <w:tcW w:w="0" w:type="auto"/>
          </w:tcPr>
          <w:p w14:paraId="20E55192" w14:textId="77777777" w:rsidR="00C771DE" w:rsidRPr="007F3394" w:rsidRDefault="00C771DE" w:rsidP="00FC6E0A">
            <w:r w:rsidRPr="007F3394">
              <w:t>Ombyggt</w:t>
            </w:r>
          </w:p>
        </w:tc>
      </w:tr>
      <w:tr w:rsidR="00C771DE" w14:paraId="51D2046A" w14:textId="77777777" w:rsidTr="005863E3">
        <w:trPr>
          <w:trHeight w:val="873"/>
        </w:trPr>
        <w:tc>
          <w:tcPr>
            <w:tcW w:w="0" w:type="auto"/>
          </w:tcPr>
          <w:p w14:paraId="29764BA2" w14:textId="0A4D0DBA" w:rsidR="00C771DE" w:rsidRPr="001C593A" w:rsidRDefault="00C771DE" w:rsidP="0060422F">
            <w:r w:rsidRPr="001C593A">
              <w:t>Mc, två eller flerhjulig (</w:t>
            </w:r>
            <w:proofErr w:type="gramStart"/>
            <w:r w:rsidRPr="001C593A">
              <w:t>ej</w:t>
            </w:r>
            <w:proofErr w:type="gramEnd"/>
            <w:r w:rsidRPr="001C593A">
              <w:t xml:space="preserve"> identisk med seriemässigt utförande) by</w:t>
            </w:r>
            <w:r w:rsidR="0060422F" w:rsidRPr="001C593A">
              <w:t>ggd på ram av egen tillverkning e</w:t>
            </w:r>
            <w:r w:rsidR="007F3394" w:rsidRPr="001C593A">
              <w:t>ller ram byggd av</w:t>
            </w:r>
            <w:r w:rsidR="001C593A">
              <w:t xml:space="preserve"> företag efter kunds önskemål</w:t>
            </w:r>
            <w:r w:rsidR="007F3394" w:rsidRPr="001C593A">
              <w:t>.</w:t>
            </w:r>
          </w:p>
        </w:tc>
        <w:tc>
          <w:tcPr>
            <w:tcW w:w="0" w:type="auto"/>
          </w:tcPr>
          <w:p w14:paraId="3A405A39" w14:textId="77777777" w:rsidR="00C771DE" w:rsidRPr="001C593A" w:rsidRDefault="00C771DE" w:rsidP="00FC6E0A">
            <w:r w:rsidRPr="001C593A">
              <w:t>Amatörbyggt</w:t>
            </w:r>
          </w:p>
        </w:tc>
      </w:tr>
    </w:tbl>
    <w:p w14:paraId="010029D5" w14:textId="77777777" w:rsidR="00C771DE" w:rsidRDefault="00C771DE" w:rsidP="00C771DE"/>
    <w:p w14:paraId="7E518340" w14:textId="77777777" w:rsidR="00645CC6" w:rsidRDefault="00645CC6" w:rsidP="00645CC6">
      <w:r>
        <w:t>* OBS – helfordonsgodkänd motorcykel kan inte godkännas som ändrat fordon</w:t>
      </w:r>
    </w:p>
    <w:p w14:paraId="18253B45" w14:textId="77777777" w:rsidR="009C7602" w:rsidRDefault="009C7602" w:rsidP="005369A4"/>
    <w:sectPr w:rsidR="009C7602" w:rsidSect="00D8574F">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3E9D" w14:textId="77777777" w:rsidR="00C76FF0" w:rsidRDefault="00C76FF0" w:rsidP="00E657E2">
      <w:pPr>
        <w:spacing w:after="0" w:line="240" w:lineRule="auto"/>
      </w:pPr>
      <w:r>
        <w:separator/>
      </w:r>
    </w:p>
  </w:endnote>
  <w:endnote w:type="continuationSeparator" w:id="0">
    <w:p w14:paraId="436154AC" w14:textId="77777777" w:rsidR="00C76FF0" w:rsidRDefault="00C76FF0" w:rsidP="00E6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D561" w14:textId="77777777" w:rsidR="00203C74" w:rsidRDefault="00203C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B57A" w14:textId="5681B82E" w:rsidR="007647D5" w:rsidRDefault="00203C74">
    <w:pPr>
      <w:pStyle w:val="Sidfot"/>
    </w:pPr>
    <w:r>
      <w:t xml:space="preserve">SFRO </w:t>
    </w:r>
    <w:r>
      <w:t>20150908</w:t>
    </w:r>
    <w:bookmarkStart w:id="0" w:name="_GoBack"/>
    <w:bookmarkEnd w:id="0"/>
  </w:p>
  <w:p w14:paraId="5160E9AD" w14:textId="77777777" w:rsidR="007647D5" w:rsidRDefault="007647D5">
    <w:pPr>
      <w:pStyle w:val="Sidfot"/>
    </w:pPr>
  </w:p>
  <w:p w14:paraId="0DF18252" w14:textId="77777777" w:rsidR="007647D5" w:rsidRDefault="007647D5">
    <w:pPr>
      <w:pStyle w:val="Sidfot"/>
    </w:pPr>
  </w:p>
  <w:p w14:paraId="0521298F" w14:textId="77777777" w:rsidR="007647D5" w:rsidRDefault="007647D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CD0A" w14:textId="77777777" w:rsidR="00203C74" w:rsidRDefault="00203C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1583" w14:textId="77777777" w:rsidR="00C76FF0" w:rsidRDefault="00C76FF0" w:rsidP="00E657E2">
      <w:pPr>
        <w:spacing w:after="0" w:line="240" w:lineRule="auto"/>
      </w:pPr>
      <w:r>
        <w:separator/>
      </w:r>
    </w:p>
  </w:footnote>
  <w:footnote w:type="continuationSeparator" w:id="0">
    <w:p w14:paraId="57447687" w14:textId="77777777" w:rsidR="00C76FF0" w:rsidRDefault="00C76FF0" w:rsidP="00E6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5EC2" w14:textId="77777777" w:rsidR="00203C74" w:rsidRDefault="00203C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2E2C" w14:textId="77777777" w:rsidR="00203C74" w:rsidRDefault="00203C7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440D" w14:textId="77777777" w:rsidR="00203C74" w:rsidRDefault="00203C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983"/>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BC1A85"/>
    <w:multiLevelType w:val="hybridMultilevel"/>
    <w:tmpl w:val="C4045BE2"/>
    <w:lvl w:ilvl="0" w:tplc="041D000F">
      <w:start w:val="1"/>
      <w:numFmt w:val="decimal"/>
      <w:lvlText w:val="%1."/>
      <w:lvlJc w:val="left"/>
      <w:pPr>
        <w:ind w:left="720" w:hanging="360"/>
      </w:pPr>
      <w:rPr>
        <w:rFonts w:hint="default"/>
      </w:rPr>
    </w:lvl>
    <w:lvl w:ilvl="1" w:tplc="7E425030">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2D0972"/>
    <w:multiLevelType w:val="hybridMultilevel"/>
    <w:tmpl w:val="0F1AC4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19691F"/>
    <w:multiLevelType w:val="hybridMultilevel"/>
    <w:tmpl w:val="3A54FB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D102D1"/>
    <w:multiLevelType w:val="hybridMultilevel"/>
    <w:tmpl w:val="5DFE698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2BF7780"/>
    <w:multiLevelType w:val="hybridMultilevel"/>
    <w:tmpl w:val="64348B2C"/>
    <w:lvl w:ilvl="0" w:tplc="79F092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E6EB1"/>
    <w:multiLevelType w:val="hybridMultilevel"/>
    <w:tmpl w:val="E0EAFACA"/>
    <w:lvl w:ilvl="0" w:tplc="293A0088">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98167D"/>
    <w:multiLevelType w:val="singleLevel"/>
    <w:tmpl w:val="041D000F"/>
    <w:lvl w:ilvl="0">
      <w:start w:val="1"/>
      <w:numFmt w:val="decimal"/>
      <w:lvlText w:val="%1."/>
      <w:lvlJc w:val="left"/>
      <w:pPr>
        <w:ind w:left="644" w:hanging="360"/>
      </w:pPr>
      <w:rPr>
        <w:rFonts w:hint="default"/>
      </w:rPr>
    </w:lvl>
  </w:abstractNum>
  <w:abstractNum w:abstractNumId="9" w15:restartNumberingAfterBreak="0">
    <w:nsid w:val="685973B0"/>
    <w:multiLevelType w:val="hybridMultilevel"/>
    <w:tmpl w:val="A9E2B7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9133B01"/>
    <w:multiLevelType w:val="singleLevel"/>
    <w:tmpl w:val="041D000F"/>
    <w:lvl w:ilvl="0">
      <w:start w:val="11"/>
      <w:numFmt w:val="decimal"/>
      <w:lvlText w:val="%1."/>
      <w:lvlJc w:val="left"/>
      <w:pPr>
        <w:tabs>
          <w:tab w:val="num" w:pos="360"/>
        </w:tabs>
        <w:ind w:left="360" w:hanging="360"/>
      </w:pPr>
      <w:rPr>
        <w:rFonts w:hint="default"/>
      </w:rPr>
    </w:lvl>
  </w:abstractNum>
  <w:abstractNum w:abstractNumId="11" w15:restartNumberingAfterBreak="0">
    <w:nsid w:val="6B597E01"/>
    <w:multiLevelType w:val="hybridMultilevel"/>
    <w:tmpl w:val="73807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3E11B8"/>
    <w:multiLevelType w:val="singleLevel"/>
    <w:tmpl w:val="041D000F"/>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8"/>
  </w:num>
  <w:num w:numId="4">
    <w:abstractNumId w:val="12"/>
  </w:num>
  <w:num w:numId="5">
    <w:abstractNumId w:val="10"/>
  </w:num>
  <w:num w:numId="6">
    <w:abstractNumId w:val="5"/>
  </w:num>
  <w:num w:numId="7">
    <w:abstractNumId w:val="2"/>
  </w:num>
  <w:num w:numId="8">
    <w:abstractNumId w:val="11"/>
  </w:num>
  <w:num w:numId="9">
    <w:abstractNumId w:val="6"/>
  </w:num>
  <w:num w:numId="10">
    <w:abstractNumId w:val="4"/>
  </w:num>
  <w:num w:numId="11">
    <w:abstractNumId w:val="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95"/>
    <w:rsid w:val="00001634"/>
    <w:rsid w:val="00037D27"/>
    <w:rsid w:val="00043E6B"/>
    <w:rsid w:val="0007175B"/>
    <w:rsid w:val="000A6814"/>
    <w:rsid w:val="000B6875"/>
    <w:rsid w:val="00103AAB"/>
    <w:rsid w:val="00123873"/>
    <w:rsid w:val="001352AF"/>
    <w:rsid w:val="00142D0B"/>
    <w:rsid w:val="00161B95"/>
    <w:rsid w:val="001A775A"/>
    <w:rsid w:val="001C25F4"/>
    <w:rsid w:val="001C451E"/>
    <w:rsid w:val="001C593A"/>
    <w:rsid w:val="001C7312"/>
    <w:rsid w:val="001D4688"/>
    <w:rsid w:val="001E1213"/>
    <w:rsid w:val="001E4F3B"/>
    <w:rsid w:val="001F339E"/>
    <w:rsid w:val="001F57B7"/>
    <w:rsid w:val="002007A8"/>
    <w:rsid w:val="00203C74"/>
    <w:rsid w:val="00230F16"/>
    <w:rsid w:val="00254A2A"/>
    <w:rsid w:val="00275EAA"/>
    <w:rsid w:val="00300E3F"/>
    <w:rsid w:val="003C5002"/>
    <w:rsid w:val="003F7E86"/>
    <w:rsid w:val="00441762"/>
    <w:rsid w:val="00496E14"/>
    <w:rsid w:val="004A18FF"/>
    <w:rsid w:val="005024AE"/>
    <w:rsid w:val="00505ED4"/>
    <w:rsid w:val="00526F7F"/>
    <w:rsid w:val="005369A4"/>
    <w:rsid w:val="005863E3"/>
    <w:rsid w:val="005E1B68"/>
    <w:rsid w:val="0060422F"/>
    <w:rsid w:val="00604DD8"/>
    <w:rsid w:val="006343D2"/>
    <w:rsid w:val="00645CC6"/>
    <w:rsid w:val="006A5196"/>
    <w:rsid w:val="006B23D4"/>
    <w:rsid w:val="006B7A02"/>
    <w:rsid w:val="006E1925"/>
    <w:rsid w:val="006F5423"/>
    <w:rsid w:val="006F7623"/>
    <w:rsid w:val="00714B06"/>
    <w:rsid w:val="0072288B"/>
    <w:rsid w:val="00753879"/>
    <w:rsid w:val="007647D5"/>
    <w:rsid w:val="007E6DC0"/>
    <w:rsid w:val="007F3394"/>
    <w:rsid w:val="008236CB"/>
    <w:rsid w:val="00827E41"/>
    <w:rsid w:val="0083132E"/>
    <w:rsid w:val="00893B97"/>
    <w:rsid w:val="008A7EC8"/>
    <w:rsid w:val="008B7B0F"/>
    <w:rsid w:val="008D475B"/>
    <w:rsid w:val="00903929"/>
    <w:rsid w:val="009362C8"/>
    <w:rsid w:val="0094366D"/>
    <w:rsid w:val="00956064"/>
    <w:rsid w:val="009623E2"/>
    <w:rsid w:val="009722D2"/>
    <w:rsid w:val="00974A81"/>
    <w:rsid w:val="00996421"/>
    <w:rsid w:val="009C7602"/>
    <w:rsid w:val="009D4824"/>
    <w:rsid w:val="00A15BE0"/>
    <w:rsid w:val="00A21BB8"/>
    <w:rsid w:val="00A865C7"/>
    <w:rsid w:val="00A91759"/>
    <w:rsid w:val="00AD3470"/>
    <w:rsid w:val="00AD41FA"/>
    <w:rsid w:val="00AE014F"/>
    <w:rsid w:val="00AE2BF4"/>
    <w:rsid w:val="00B17547"/>
    <w:rsid w:val="00BB3E22"/>
    <w:rsid w:val="00BB4DCE"/>
    <w:rsid w:val="00C12CFA"/>
    <w:rsid w:val="00C1341E"/>
    <w:rsid w:val="00C220FE"/>
    <w:rsid w:val="00C4292E"/>
    <w:rsid w:val="00C43B9D"/>
    <w:rsid w:val="00C547BE"/>
    <w:rsid w:val="00C76FF0"/>
    <w:rsid w:val="00C771DE"/>
    <w:rsid w:val="00C94093"/>
    <w:rsid w:val="00CC3EEF"/>
    <w:rsid w:val="00CC6545"/>
    <w:rsid w:val="00CE729B"/>
    <w:rsid w:val="00CF6D7E"/>
    <w:rsid w:val="00D46C42"/>
    <w:rsid w:val="00D8574F"/>
    <w:rsid w:val="00DB0706"/>
    <w:rsid w:val="00DF5FAC"/>
    <w:rsid w:val="00E21511"/>
    <w:rsid w:val="00E657E2"/>
    <w:rsid w:val="00E96323"/>
    <w:rsid w:val="00EB5AA4"/>
    <w:rsid w:val="00ED403D"/>
    <w:rsid w:val="00EE2BDF"/>
    <w:rsid w:val="00F11BE7"/>
    <w:rsid w:val="00F20E6E"/>
    <w:rsid w:val="00F50D7F"/>
    <w:rsid w:val="00F77819"/>
    <w:rsid w:val="00FC6E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34D4B0"/>
  <w15:docId w15:val="{2465943F-A2C3-4DB2-924F-243278D7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Lucida Sans Unicode" w:cs="Calibri"/>
      <w:kern w:val="1"/>
      <w:sz w:val="24"/>
      <w:szCs w:val="24"/>
      <w:lang w:eastAsia="hi-IN" w:bidi="hi-IN"/>
    </w:rPr>
  </w:style>
  <w:style w:type="paragraph" w:styleId="Rubrik1">
    <w:name w:val="heading 1"/>
    <w:basedOn w:val="Normal"/>
    <w:next w:val="Brdtext"/>
    <w:qFormat/>
    <w:pPr>
      <w:keepNext/>
      <w:keepLines/>
      <w:spacing w:before="480" w:after="0"/>
      <w:outlineLvl w:val="0"/>
    </w:pPr>
    <w:rPr>
      <w:rFonts w:ascii="Cambria" w:eastAsia="Times New Roman" w:hAnsi="Cambria" w:cs="Cambria"/>
      <w:b/>
      <w:bCs/>
      <w:color w:val="365F91"/>
      <w:sz w:val="28"/>
      <w:szCs w:val="28"/>
    </w:rPr>
  </w:style>
  <w:style w:type="paragraph" w:styleId="Rubrik2">
    <w:name w:val="heading 2"/>
    <w:basedOn w:val="Normal"/>
    <w:next w:val="Brdtext"/>
    <w:link w:val="Rubrik2Char"/>
    <w:qFormat/>
    <w:pPr>
      <w:keepNext/>
      <w:keepLines/>
      <w:numPr>
        <w:ilvl w:val="1"/>
        <w:numId w:val="1"/>
      </w:numPr>
      <w:spacing w:before="200" w:after="0"/>
      <w:outlineLvl w:val="1"/>
    </w:pPr>
    <w:rPr>
      <w:rFonts w:ascii="Cambria" w:eastAsia="Times New Roman" w:hAnsi="Cambria" w:cs="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eckensnitt"/>
    <w:rPr>
      <w:rFonts w:ascii="Cambria" w:hAnsi="Cambria" w:cs="Cambria"/>
      <w:b/>
      <w:bCs/>
      <w:color w:val="365F91"/>
      <w:sz w:val="28"/>
      <w:szCs w:val="28"/>
    </w:rPr>
  </w:style>
  <w:style w:type="character" w:customStyle="1" w:styleId="Heading2Char">
    <w:name w:val="Heading 2 Char"/>
    <w:basedOn w:val="Standardstycketeckensnitt"/>
    <w:rPr>
      <w:rFonts w:ascii="Cambria" w:hAnsi="Cambria" w:cs="Cambria"/>
      <w:b/>
      <w:bCs/>
      <w:color w:val="4F81BD"/>
      <w:sz w:val="26"/>
      <w:szCs w:val="26"/>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paragraph" w:customStyle="1" w:styleId="Rubrik10">
    <w:name w:val="Rubrik1"/>
    <w:basedOn w:val="Normal"/>
    <w:next w:val="Brdtext"/>
    <w:pPr>
      <w:keepNext/>
      <w:spacing w:before="240" w:after="120"/>
    </w:pPr>
    <w:rPr>
      <w:rFonts w:ascii="Arial"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Liststycke">
    <w:name w:val="List Paragraph"/>
    <w:basedOn w:val="Normal"/>
    <w:qFormat/>
    <w:pPr>
      <w:ind w:left="720"/>
    </w:pPr>
  </w:style>
  <w:style w:type="character" w:styleId="Starkbetoning">
    <w:name w:val="Intense Emphasis"/>
    <w:basedOn w:val="Standardstycketeckensnitt"/>
    <w:uiPriority w:val="21"/>
    <w:qFormat/>
    <w:rsid w:val="009362C8"/>
    <w:rPr>
      <w:b/>
      <w:bCs/>
      <w:i/>
      <w:iCs/>
      <w:color w:val="4F81BD" w:themeColor="accent1"/>
    </w:rPr>
  </w:style>
  <w:style w:type="paragraph" w:styleId="Sidhuvud">
    <w:name w:val="header"/>
    <w:basedOn w:val="Normal"/>
    <w:link w:val="SidhuvudChar"/>
    <w:uiPriority w:val="99"/>
    <w:unhideWhenUsed/>
    <w:rsid w:val="00E657E2"/>
    <w:pPr>
      <w:tabs>
        <w:tab w:val="center" w:pos="4536"/>
        <w:tab w:val="right" w:pos="9072"/>
      </w:tabs>
      <w:spacing w:after="0" w:line="240" w:lineRule="auto"/>
    </w:pPr>
    <w:rPr>
      <w:rFonts w:cs="Mangal"/>
      <w:szCs w:val="21"/>
    </w:rPr>
  </w:style>
  <w:style w:type="character" w:customStyle="1" w:styleId="SidhuvudChar">
    <w:name w:val="Sidhuvud Char"/>
    <w:basedOn w:val="Standardstycketeckensnitt"/>
    <w:link w:val="Sidhuvud"/>
    <w:uiPriority w:val="99"/>
    <w:rsid w:val="00E657E2"/>
    <w:rPr>
      <w:rFonts w:eastAsia="Lucida Sans Unicode" w:cs="Mangal"/>
      <w:kern w:val="1"/>
      <w:sz w:val="24"/>
      <w:szCs w:val="21"/>
      <w:lang w:eastAsia="hi-IN" w:bidi="hi-IN"/>
    </w:rPr>
  </w:style>
  <w:style w:type="paragraph" w:styleId="Sidfot">
    <w:name w:val="footer"/>
    <w:basedOn w:val="Normal"/>
    <w:link w:val="SidfotChar"/>
    <w:uiPriority w:val="99"/>
    <w:unhideWhenUsed/>
    <w:rsid w:val="00E657E2"/>
    <w:pPr>
      <w:tabs>
        <w:tab w:val="center" w:pos="4536"/>
        <w:tab w:val="right" w:pos="9072"/>
      </w:tabs>
      <w:spacing w:after="0" w:line="240" w:lineRule="auto"/>
    </w:pPr>
    <w:rPr>
      <w:rFonts w:cs="Mangal"/>
      <w:szCs w:val="21"/>
    </w:rPr>
  </w:style>
  <w:style w:type="character" w:customStyle="1" w:styleId="SidfotChar">
    <w:name w:val="Sidfot Char"/>
    <w:basedOn w:val="Standardstycketeckensnitt"/>
    <w:link w:val="Sidfot"/>
    <w:uiPriority w:val="99"/>
    <w:rsid w:val="00E657E2"/>
    <w:rPr>
      <w:rFonts w:eastAsia="Lucida Sans Unicode" w:cs="Mangal"/>
      <w:kern w:val="1"/>
      <w:sz w:val="24"/>
      <w:szCs w:val="21"/>
      <w:lang w:eastAsia="hi-IN" w:bidi="hi-IN"/>
    </w:rPr>
  </w:style>
  <w:style w:type="paragraph" w:styleId="Ballongtext">
    <w:name w:val="Balloon Text"/>
    <w:basedOn w:val="Normal"/>
    <w:link w:val="BallongtextChar"/>
    <w:uiPriority w:val="99"/>
    <w:semiHidden/>
    <w:unhideWhenUsed/>
    <w:rsid w:val="00E657E2"/>
    <w:pPr>
      <w:spacing w:after="0" w:line="240" w:lineRule="auto"/>
    </w:pPr>
    <w:rPr>
      <w:rFonts w:ascii="Tahoma" w:hAnsi="Tahoma" w:cs="Mangal"/>
      <w:sz w:val="16"/>
      <w:szCs w:val="14"/>
    </w:rPr>
  </w:style>
  <w:style w:type="character" w:customStyle="1" w:styleId="BallongtextChar">
    <w:name w:val="Ballongtext Char"/>
    <w:basedOn w:val="Standardstycketeckensnitt"/>
    <w:link w:val="Ballongtext"/>
    <w:uiPriority w:val="99"/>
    <w:semiHidden/>
    <w:rsid w:val="00E657E2"/>
    <w:rPr>
      <w:rFonts w:ascii="Tahoma" w:eastAsia="Lucida Sans Unicode" w:hAnsi="Tahoma" w:cs="Mangal"/>
      <w:kern w:val="1"/>
      <w:sz w:val="16"/>
      <w:szCs w:val="14"/>
      <w:lang w:eastAsia="hi-IN" w:bidi="hi-IN"/>
    </w:rPr>
  </w:style>
  <w:style w:type="character" w:customStyle="1" w:styleId="Rubrik2Char">
    <w:name w:val="Rubrik 2 Char"/>
    <w:basedOn w:val="Standardstycketeckensnitt"/>
    <w:link w:val="Rubrik2"/>
    <w:rsid w:val="00C771DE"/>
    <w:rPr>
      <w:rFonts w:ascii="Cambria" w:hAnsi="Cambria" w:cs="Cambria"/>
      <w:b/>
      <w:bCs/>
      <w:color w:val="4F81BD"/>
      <w:kern w:val="1"/>
      <w:sz w:val="26"/>
      <w:szCs w:val="26"/>
      <w:lang w:eastAsia="hi-IN" w:bidi="hi-IN"/>
    </w:rPr>
  </w:style>
  <w:style w:type="character" w:styleId="Kommentarsreferens">
    <w:name w:val="annotation reference"/>
    <w:basedOn w:val="Standardstycketeckensnitt"/>
    <w:uiPriority w:val="99"/>
    <w:semiHidden/>
    <w:unhideWhenUsed/>
    <w:rsid w:val="002007A8"/>
    <w:rPr>
      <w:sz w:val="16"/>
      <w:szCs w:val="16"/>
    </w:rPr>
  </w:style>
  <w:style w:type="paragraph" w:styleId="Kommentarer">
    <w:name w:val="annotation text"/>
    <w:basedOn w:val="Normal"/>
    <w:link w:val="KommentarerChar"/>
    <w:uiPriority w:val="99"/>
    <w:semiHidden/>
    <w:unhideWhenUsed/>
    <w:rsid w:val="002007A8"/>
    <w:pPr>
      <w:spacing w:line="240" w:lineRule="auto"/>
    </w:pPr>
    <w:rPr>
      <w:rFonts w:cs="Mangal"/>
      <w:sz w:val="20"/>
      <w:szCs w:val="18"/>
    </w:rPr>
  </w:style>
  <w:style w:type="character" w:customStyle="1" w:styleId="KommentarerChar">
    <w:name w:val="Kommentarer Char"/>
    <w:basedOn w:val="Standardstycketeckensnitt"/>
    <w:link w:val="Kommentarer"/>
    <w:uiPriority w:val="99"/>
    <w:semiHidden/>
    <w:rsid w:val="002007A8"/>
    <w:rPr>
      <w:rFonts w:eastAsia="Lucida Sans Unicode" w:cs="Mangal"/>
      <w:kern w:val="1"/>
      <w:szCs w:val="18"/>
      <w:lang w:eastAsia="hi-IN" w:bidi="hi-IN"/>
    </w:rPr>
  </w:style>
  <w:style w:type="paragraph" w:styleId="Kommentarsmne">
    <w:name w:val="annotation subject"/>
    <w:basedOn w:val="Kommentarer"/>
    <w:next w:val="Kommentarer"/>
    <w:link w:val="KommentarsmneChar"/>
    <w:uiPriority w:val="99"/>
    <w:semiHidden/>
    <w:unhideWhenUsed/>
    <w:rsid w:val="002007A8"/>
    <w:rPr>
      <w:b/>
      <w:bCs/>
    </w:rPr>
  </w:style>
  <w:style w:type="character" w:customStyle="1" w:styleId="KommentarsmneChar">
    <w:name w:val="Kommentarsämne Char"/>
    <w:basedOn w:val="KommentarerChar"/>
    <w:link w:val="Kommentarsmne"/>
    <w:uiPriority w:val="99"/>
    <w:semiHidden/>
    <w:rsid w:val="002007A8"/>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E454-33EC-49E6-B387-7D79BBA0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713</Words>
  <Characters>3782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Gustaf Ulander KoR</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dc:creator>
  <cp:lastModifiedBy>Hans Pihlblad</cp:lastModifiedBy>
  <cp:revision>4</cp:revision>
  <cp:lastPrinted>1900-12-31T23:00:00Z</cp:lastPrinted>
  <dcterms:created xsi:type="dcterms:W3CDTF">2015-09-08T18:07:00Z</dcterms:created>
  <dcterms:modified xsi:type="dcterms:W3CDTF">2015-09-08T18:20:00Z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Gustaf Ulander KoR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